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2D" w:rsidRDefault="00D13432">
      <w:r>
        <w:rPr>
          <w:b/>
          <w:u w:val="single"/>
        </w:rPr>
        <w:t xml:space="preserve">Introduction: </w:t>
      </w:r>
      <w:r w:rsidR="00477D1A">
        <w:t xml:space="preserve">This year, the BAA will be auctioning off seats in the lead truck for Finals Heats </w:t>
      </w:r>
      <w:r w:rsidR="00477D1A" w:rsidRPr="00D13432">
        <w:rPr>
          <w:i/>
        </w:rPr>
        <w:t>LIVE</w:t>
      </w:r>
      <w:r w:rsidRPr="00D13432">
        <w:rPr>
          <w:i/>
        </w:rPr>
        <w:t xml:space="preserve"> AND</w:t>
      </w:r>
      <w:r w:rsidR="00477D1A" w:rsidRPr="00D13432">
        <w:rPr>
          <w:i/>
        </w:rPr>
        <w:t xml:space="preserve"> IN PERSON</w:t>
      </w:r>
      <w:r w:rsidR="00477D1A" w:rsidRPr="00D13432">
        <w:t xml:space="preserve"> </w:t>
      </w:r>
      <w:r w:rsidR="00477D1A">
        <w:t>at Hough’s Taproom, 563 Greenfield Ave, Pittsburgh, PA 15207, during an event that begins at 7:</w:t>
      </w:r>
      <w:r w:rsidR="005F0DA3">
        <w:t>0</w:t>
      </w:r>
      <w:r w:rsidR="00477D1A">
        <w:t>0pm on Friday, April 20.  But if you’re unable to attend, don’t worry!  You can still participate by using this Proxy Bidding Sheet!</w:t>
      </w:r>
    </w:p>
    <w:p w:rsidR="00477D1A" w:rsidRDefault="00477D1A">
      <w:r>
        <w:rPr>
          <w:b/>
          <w:u w:val="single"/>
        </w:rPr>
        <w:t>How it works</w:t>
      </w:r>
      <w:r>
        <w:t>: In the below chart, list the Heat(s) and/or Organization(s) that you would like to bid on,</w:t>
      </w:r>
      <w:r w:rsidR="00A75B63">
        <w:t xml:space="preserve"> in order of priority to you,</w:t>
      </w:r>
      <w:r>
        <w:t xml:space="preserve"> and the </w:t>
      </w:r>
      <w:r>
        <w:rPr>
          <w:b/>
          <w:i/>
        </w:rPr>
        <w:t>maximum</w:t>
      </w:r>
      <w:r>
        <w:t xml:space="preserve"> bid that you are willing to make for that Heat/Organization.  During the live auction, you will be treated as an additional live bidder, and bids in the standard increment will be made, on your behalf, up to your maximum bid.  For example, if </w:t>
      </w:r>
      <w:proofErr w:type="gramStart"/>
      <w:r>
        <w:t>your</w:t>
      </w:r>
      <w:proofErr w:type="gramEnd"/>
      <w:r>
        <w:t xml:space="preserve"> maximum bid is $20 and there is one person bidding at the auction who has bid $15, your bid will automatically be placed at $16.  If more than one proxy bidder has put a maximum bid on a pa</w:t>
      </w:r>
      <w:r w:rsidR="00A75B63">
        <w:t>rticular heat, each individual bid ($15, $16, $17, etc.) will be determined at random, provided that no proxy bidder will be made to outbid him/herself (for example, if there are 2 proxy bidders and 1 live bidder, if the live bidder bids $15, we will randomly determine which proxy bidder bids $16, until the maximum bid is reached).</w:t>
      </w:r>
      <w:r>
        <w:t xml:space="preserve"> </w:t>
      </w:r>
    </w:p>
    <w:p w:rsidR="00477D1A" w:rsidRDefault="00477D1A">
      <w:r>
        <w:t xml:space="preserve">Please note that we </w:t>
      </w:r>
      <w:r>
        <w:rPr>
          <w:b/>
          <w:i/>
          <w:u w:val="single"/>
        </w:rPr>
        <w:t>will not</w:t>
      </w:r>
      <w:r>
        <w:rPr>
          <w:i/>
        </w:rPr>
        <w:t xml:space="preserve"> </w:t>
      </w:r>
      <w:r>
        <w:t>automatically jump to your maximum bid and preference will be given to those at the event.  So if your maximum bid is $20 and bidding at the live event starts at $10, if someone else in the room has bid $20 and that is the final bid, they will be awarded the seat.  However, if the maximum bid in the room was $19 and you</w:t>
      </w:r>
      <w:r w:rsidR="00A75B63">
        <w:t>r</w:t>
      </w:r>
      <w:r>
        <w:t xml:space="preserve"> $20 maximum bid</w:t>
      </w:r>
      <w:r w:rsidR="00A75B63">
        <w:t xml:space="preserve"> is the highest bid, you will be awarded the seat.</w:t>
      </w:r>
    </w:p>
    <w:p w:rsidR="00A75B63" w:rsidRDefault="00A75B63">
      <w:r>
        <w:t>In addition, if you want the ability to bid on more than 1 heat, but only want to win 1 heat, please check the box below labeled “One Winner Only”.  If the box is checked, once you have won a seat, we will no longer place bids on your behalf.  We will do our best to honor your priority in the chart below, but we can make no guarantees depending on the order of auction bids.</w:t>
      </w:r>
    </w:p>
    <w:p w:rsidR="000D3E4F" w:rsidRDefault="00A75B63">
      <w:r>
        <w:t>Lastly, we have included a space for any specific requirements or comments that you have, so if you have any particular preferences, feel free to write them in (for example, you can write in: (1) you’re willing to win 1 men’s and 1 women’s heat, (2) if you’ve already won 1 heat, lower the maximum bids for other heats that you have listed by $X, (3) if you have not won a heat and only have 1 left, increase the maximum bid for that heat by $X, or (4) any other criteria that you would like to specify).  Please note that we take no responsibility if any comments are misinterpreted</w:t>
      </w:r>
      <w:r w:rsidR="00551A39">
        <w:t xml:space="preserve"> and once the auction ends we are unable to make any changes, so please be as clear as possible if you have any specific comments.</w:t>
      </w:r>
    </w:p>
    <w:p w:rsidR="000D3E4F" w:rsidRDefault="000D3E4F">
      <w:r>
        <w:t xml:space="preserve">Please submit your Proxy Bidding Sheet to </w:t>
      </w:r>
      <w:hyperlink r:id="rId7" w:history="1">
        <w:r w:rsidRPr="000D7A55">
          <w:rPr>
            <w:rStyle w:val="Hyperlink"/>
          </w:rPr>
          <w:t>barsham@alumni.cmu.edu</w:t>
        </w:r>
      </w:hyperlink>
      <w:r>
        <w:t xml:space="preserve"> by </w:t>
      </w:r>
      <w:r>
        <w:rPr>
          <w:b/>
          <w:u w:val="single"/>
        </w:rPr>
        <w:t>6:00 p.m. ET on Friday, April 20</w:t>
      </w:r>
      <w:r>
        <w:t xml:space="preserve">.  If you have any questions, please contact Bryan </w:t>
      </w:r>
      <w:proofErr w:type="spellStart"/>
      <w:r>
        <w:t>Arsham</w:t>
      </w:r>
      <w:proofErr w:type="spellEnd"/>
      <w:r>
        <w:t xml:space="preserve"> at barsham@alumni.cmu.edu.</w:t>
      </w:r>
      <w:r>
        <w:br w:type="page"/>
      </w:r>
    </w:p>
    <w:tbl>
      <w:tblPr>
        <w:tblStyle w:val="TableGrid"/>
        <w:tblW w:w="0" w:type="auto"/>
        <w:tblLook w:val="04A0"/>
      </w:tblPr>
      <w:tblGrid>
        <w:gridCol w:w="7578"/>
        <w:gridCol w:w="1998"/>
      </w:tblGrid>
      <w:tr w:rsidR="00551A39" w:rsidTr="00551A39">
        <w:trPr>
          <w:trHeight w:val="390"/>
        </w:trPr>
        <w:tc>
          <w:tcPr>
            <w:tcW w:w="7578" w:type="dxa"/>
            <w:vMerge w:val="restart"/>
            <w:vAlign w:val="center"/>
          </w:tcPr>
          <w:p w:rsidR="00551A39" w:rsidRDefault="00551A39" w:rsidP="00551A39">
            <w:pPr>
              <w:spacing w:before="240"/>
              <w:jc w:val="center"/>
              <w:rPr>
                <w:b/>
                <w:u w:val="single"/>
              </w:rPr>
            </w:pPr>
            <w:r>
              <w:rPr>
                <w:b/>
                <w:u w:val="single"/>
              </w:rPr>
              <w:lastRenderedPageBreak/>
              <w:t xml:space="preserve">Heat/Organization </w:t>
            </w:r>
          </w:p>
          <w:p w:rsidR="00551A39" w:rsidRPr="00551A39" w:rsidRDefault="00551A39" w:rsidP="00551A39">
            <w:pPr>
              <w:spacing w:before="240"/>
              <w:jc w:val="center"/>
            </w:pPr>
            <w:r w:rsidRPr="00551A39">
              <w:rPr>
                <w:sz w:val="20"/>
                <w:szCs w:val="20"/>
              </w:rPr>
              <w:t>(Please include Men’s/Women’s and Letter Designation, if applicable)</w:t>
            </w:r>
          </w:p>
        </w:tc>
        <w:tc>
          <w:tcPr>
            <w:tcW w:w="1998" w:type="dxa"/>
          </w:tcPr>
          <w:p w:rsidR="00551A39" w:rsidRPr="00551A39" w:rsidRDefault="00851E21" w:rsidP="00551A39">
            <w:pPr>
              <w:spacing w:before="240" w:line="480" w:lineRule="auto"/>
            </w:pPr>
            <w:r>
              <w:rPr>
                <w:noProof/>
              </w:rPr>
              <w:pict>
                <v:rect id="_x0000_s1026" style="position:absolute;margin-left:79.5pt;margin-top:13.05pt;width:12pt;height:13.2pt;z-index:251658240;mso-position-horizontal-relative:text;mso-position-vertical-relative:text"/>
              </w:pict>
            </w:r>
            <w:r w:rsidR="00551A39" w:rsidRPr="00551A39">
              <w:t xml:space="preserve">One Winner Only </w:t>
            </w:r>
          </w:p>
        </w:tc>
      </w:tr>
      <w:tr w:rsidR="00551A39" w:rsidTr="00551A39">
        <w:trPr>
          <w:trHeight w:val="390"/>
        </w:trPr>
        <w:tc>
          <w:tcPr>
            <w:tcW w:w="7578" w:type="dxa"/>
            <w:vMerge/>
          </w:tcPr>
          <w:p w:rsidR="00551A39" w:rsidRDefault="00551A39" w:rsidP="00551A39">
            <w:pPr>
              <w:spacing w:before="240"/>
              <w:jc w:val="center"/>
              <w:rPr>
                <w:b/>
                <w:u w:val="single"/>
              </w:rPr>
            </w:pPr>
          </w:p>
        </w:tc>
        <w:tc>
          <w:tcPr>
            <w:tcW w:w="1998" w:type="dxa"/>
          </w:tcPr>
          <w:p w:rsidR="00551A39" w:rsidRPr="00551A39" w:rsidRDefault="00551A39" w:rsidP="00FB7A15">
            <w:pPr>
              <w:spacing w:before="240" w:line="480" w:lineRule="auto"/>
              <w:jc w:val="center"/>
              <w:rPr>
                <w:b/>
                <w:u w:val="single"/>
              </w:rPr>
            </w:pPr>
            <w:r>
              <w:rPr>
                <w:b/>
                <w:u w:val="single"/>
              </w:rPr>
              <w:t>Maximum Bid</w:t>
            </w:r>
          </w:p>
        </w:tc>
      </w:tr>
      <w:tr w:rsidR="00551A39" w:rsidTr="00551A39">
        <w:tc>
          <w:tcPr>
            <w:tcW w:w="7578" w:type="dxa"/>
          </w:tcPr>
          <w:p w:rsidR="00551A39" w:rsidRPr="00551A39" w:rsidRDefault="00551A39" w:rsidP="00551A39">
            <w:pPr>
              <w:spacing w:before="240" w:line="276" w:lineRule="auto"/>
              <w:rPr>
                <w:b/>
              </w:rPr>
            </w:pPr>
            <w:r w:rsidRPr="00551A39">
              <w:rPr>
                <w:b/>
              </w:rPr>
              <w:t>Ex: Women’s Heat 1</w:t>
            </w:r>
          </w:p>
        </w:tc>
        <w:tc>
          <w:tcPr>
            <w:tcW w:w="1998" w:type="dxa"/>
          </w:tcPr>
          <w:p w:rsidR="00551A39" w:rsidRDefault="00551A39" w:rsidP="00551A39">
            <w:pPr>
              <w:spacing w:before="240" w:line="276" w:lineRule="auto"/>
              <w:jc w:val="center"/>
            </w:pPr>
            <w:r>
              <w:t>$20</w:t>
            </w:r>
          </w:p>
        </w:tc>
      </w:tr>
      <w:tr w:rsidR="00551A39" w:rsidTr="00551A39">
        <w:tc>
          <w:tcPr>
            <w:tcW w:w="7578" w:type="dxa"/>
          </w:tcPr>
          <w:p w:rsidR="00551A39" w:rsidRPr="00551A39" w:rsidRDefault="00551A39" w:rsidP="00551A39">
            <w:pPr>
              <w:spacing w:before="240" w:line="276" w:lineRule="auto"/>
              <w:rPr>
                <w:b/>
              </w:rPr>
            </w:pPr>
            <w:r w:rsidRPr="00551A39">
              <w:rPr>
                <w:b/>
              </w:rPr>
              <w:t>Ex: Men’s SDC A</w:t>
            </w:r>
          </w:p>
        </w:tc>
        <w:tc>
          <w:tcPr>
            <w:tcW w:w="1998" w:type="dxa"/>
          </w:tcPr>
          <w:p w:rsidR="00551A39" w:rsidRDefault="00551A39" w:rsidP="00551A39">
            <w:pPr>
              <w:spacing w:before="240" w:line="276" w:lineRule="auto"/>
              <w:jc w:val="center"/>
            </w:pPr>
            <w:r>
              <w:t>$30</w:t>
            </w:r>
          </w:p>
        </w:tc>
      </w:tr>
      <w:tr w:rsidR="00551A39" w:rsidTr="00551A39">
        <w:tc>
          <w:tcPr>
            <w:tcW w:w="7578" w:type="dxa"/>
          </w:tcPr>
          <w:p w:rsidR="00551A39" w:rsidRPr="00551A39" w:rsidRDefault="00551A39" w:rsidP="00551A39">
            <w:pPr>
              <w:spacing w:before="240" w:line="276" w:lineRule="auto"/>
              <w:rPr>
                <w:b/>
              </w:rPr>
            </w:pPr>
            <w:r>
              <w:rPr>
                <w:b/>
              </w:rPr>
              <w:t>Ex: Any Fringe Heat (Men’s or Women’s)</w:t>
            </w:r>
          </w:p>
        </w:tc>
        <w:tc>
          <w:tcPr>
            <w:tcW w:w="1998" w:type="dxa"/>
          </w:tcPr>
          <w:p w:rsidR="00551A39" w:rsidRDefault="00551A39" w:rsidP="00551A39">
            <w:pPr>
              <w:spacing w:before="240" w:line="276" w:lineRule="auto"/>
              <w:jc w:val="center"/>
            </w:pPr>
            <w:r>
              <w:t>$15</w:t>
            </w:r>
          </w:p>
        </w:tc>
      </w:tr>
      <w:tr w:rsidR="00551A39" w:rsidTr="00551A39">
        <w:tc>
          <w:tcPr>
            <w:tcW w:w="7578" w:type="dxa"/>
          </w:tcPr>
          <w:p w:rsidR="00551A39" w:rsidRDefault="00551A39" w:rsidP="00551A39">
            <w:pPr>
              <w:pStyle w:val="ListParagraph"/>
              <w:numPr>
                <w:ilvl w:val="0"/>
                <w:numId w:val="1"/>
              </w:numPr>
              <w:spacing w:before="240" w:line="276" w:lineRule="auto"/>
            </w:pPr>
          </w:p>
        </w:tc>
        <w:tc>
          <w:tcPr>
            <w:tcW w:w="1998" w:type="dxa"/>
          </w:tcPr>
          <w:p w:rsidR="00551A39" w:rsidRDefault="00551A39" w:rsidP="00551A39">
            <w:pPr>
              <w:spacing w:before="240" w:line="276" w:lineRule="auto"/>
              <w:jc w:val="center"/>
            </w:pPr>
          </w:p>
        </w:tc>
      </w:tr>
      <w:tr w:rsidR="00551A39" w:rsidTr="00551A39">
        <w:tc>
          <w:tcPr>
            <w:tcW w:w="7578" w:type="dxa"/>
          </w:tcPr>
          <w:p w:rsidR="00551A39" w:rsidRDefault="00551A39" w:rsidP="00551A39">
            <w:pPr>
              <w:pStyle w:val="ListParagraph"/>
              <w:numPr>
                <w:ilvl w:val="0"/>
                <w:numId w:val="1"/>
              </w:numPr>
              <w:spacing w:before="240" w:line="276" w:lineRule="auto"/>
            </w:pPr>
          </w:p>
        </w:tc>
        <w:tc>
          <w:tcPr>
            <w:tcW w:w="1998" w:type="dxa"/>
          </w:tcPr>
          <w:p w:rsidR="00551A39" w:rsidRDefault="00551A39" w:rsidP="00551A39">
            <w:pPr>
              <w:spacing w:before="240" w:line="276" w:lineRule="auto"/>
              <w:jc w:val="center"/>
            </w:pPr>
          </w:p>
        </w:tc>
      </w:tr>
      <w:tr w:rsidR="00551A39" w:rsidTr="00551A39">
        <w:tc>
          <w:tcPr>
            <w:tcW w:w="7578" w:type="dxa"/>
          </w:tcPr>
          <w:p w:rsidR="00551A39" w:rsidRDefault="00551A39" w:rsidP="00551A39">
            <w:pPr>
              <w:pStyle w:val="ListParagraph"/>
              <w:numPr>
                <w:ilvl w:val="0"/>
                <w:numId w:val="1"/>
              </w:numPr>
              <w:spacing w:before="240" w:line="276" w:lineRule="auto"/>
            </w:pPr>
          </w:p>
        </w:tc>
        <w:tc>
          <w:tcPr>
            <w:tcW w:w="1998" w:type="dxa"/>
          </w:tcPr>
          <w:p w:rsidR="00551A39" w:rsidRDefault="00551A39" w:rsidP="00551A39">
            <w:pPr>
              <w:spacing w:before="240" w:line="276" w:lineRule="auto"/>
              <w:jc w:val="center"/>
            </w:pPr>
          </w:p>
        </w:tc>
      </w:tr>
      <w:tr w:rsidR="00551A39" w:rsidTr="00551A39">
        <w:tc>
          <w:tcPr>
            <w:tcW w:w="7578" w:type="dxa"/>
          </w:tcPr>
          <w:p w:rsidR="00551A39" w:rsidRDefault="00551A39" w:rsidP="00551A39">
            <w:pPr>
              <w:pStyle w:val="ListParagraph"/>
              <w:numPr>
                <w:ilvl w:val="0"/>
                <w:numId w:val="1"/>
              </w:numPr>
              <w:spacing w:before="240" w:line="276" w:lineRule="auto"/>
            </w:pPr>
          </w:p>
        </w:tc>
        <w:tc>
          <w:tcPr>
            <w:tcW w:w="1998" w:type="dxa"/>
          </w:tcPr>
          <w:p w:rsidR="00551A39" w:rsidRDefault="00551A39" w:rsidP="00551A39">
            <w:pPr>
              <w:spacing w:before="240" w:line="276" w:lineRule="auto"/>
              <w:jc w:val="center"/>
            </w:pPr>
          </w:p>
        </w:tc>
      </w:tr>
      <w:tr w:rsidR="00551A39" w:rsidTr="00551A39">
        <w:tc>
          <w:tcPr>
            <w:tcW w:w="7578" w:type="dxa"/>
          </w:tcPr>
          <w:p w:rsidR="00551A39" w:rsidRDefault="00551A39" w:rsidP="00551A39">
            <w:pPr>
              <w:pStyle w:val="ListParagraph"/>
              <w:numPr>
                <w:ilvl w:val="0"/>
                <w:numId w:val="1"/>
              </w:numPr>
              <w:spacing w:before="240" w:line="276" w:lineRule="auto"/>
            </w:pPr>
          </w:p>
        </w:tc>
        <w:tc>
          <w:tcPr>
            <w:tcW w:w="1998" w:type="dxa"/>
          </w:tcPr>
          <w:p w:rsidR="00551A39" w:rsidRDefault="00551A39" w:rsidP="00551A39">
            <w:pPr>
              <w:spacing w:before="240" w:line="276" w:lineRule="auto"/>
              <w:jc w:val="center"/>
            </w:pPr>
          </w:p>
        </w:tc>
      </w:tr>
      <w:tr w:rsidR="00551A39" w:rsidTr="00551A39">
        <w:tc>
          <w:tcPr>
            <w:tcW w:w="7578" w:type="dxa"/>
          </w:tcPr>
          <w:p w:rsidR="00551A39" w:rsidRDefault="00551A39" w:rsidP="00551A39">
            <w:pPr>
              <w:pStyle w:val="ListParagraph"/>
              <w:numPr>
                <w:ilvl w:val="0"/>
                <w:numId w:val="1"/>
              </w:numPr>
              <w:spacing w:before="240" w:line="276" w:lineRule="auto"/>
            </w:pPr>
          </w:p>
        </w:tc>
        <w:tc>
          <w:tcPr>
            <w:tcW w:w="1998" w:type="dxa"/>
          </w:tcPr>
          <w:p w:rsidR="00551A39" w:rsidRDefault="00551A39" w:rsidP="00551A39">
            <w:pPr>
              <w:spacing w:before="240" w:line="276" w:lineRule="auto"/>
              <w:jc w:val="center"/>
            </w:pPr>
          </w:p>
        </w:tc>
      </w:tr>
      <w:tr w:rsidR="00551A39" w:rsidTr="00551A39">
        <w:tc>
          <w:tcPr>
            <w:tcW w:w="7578" w:type="dxa"/>
          </w:tcPr>
          <w:p w:rsidR="00551A39" w:rsidRDefault="00551A39" w:rsidP="00551A39">
            <w:pPr>
              <w:pStyle w:val="ListParagraph"/>
              <w:numPr>
                <w:ilvl w:val="0"/>
                <w:numId w:val="1"/>
              </w:numPr>
              <w:spacing w:before="240" w:line="276" w:lineRule="auto"/>
            </w:pPr>
          </w:p>
        </w:tc>
        <w:tc>
          <w:tcPr>
            <w:tcW w:w="1998" w:type="dxa"/>
          </w:tcPr>
          <w:p w:rsidR="00551A39" w:rsidRDefault="00551A39" w:rsidP="00551A39">
            <w:pPr>
              <w:spacing w:before="240" w:line="276" w:lineRule="auto"/>
              <w:jc w:val="center"/>
            </w:pPr>
          </w:p>
        </w:tc>
      </w:tr>
      <w:tr w:rsidR="00551A39" w:rsidTr="00551A39">
        <w:tc>
          <w:tcPr>
            <w:tcW w:w="7578" w:type="dxa"/>
          </w:tcPr>
          <w:p w:rsidR="00551A39" w:rsidRDefault="00551A39" w:rsidP="00551A39">
            <w:pPr>
              <w:pStyle w:val="ListParagraph"/>
              <w:numPr>
                <w:ilvl w:val="0"/>
                <w:numId w:val="1"/>
              </w:numPr>
              <w:spacing w:before="240" w:line="276" w:lineRule="auto"/>
            </w:pPr>
          </w:p>
        </w:tc>
        <w:tc>
          <w:tcPr>
            <w:tcW w:w="1998" w:type="dxa"/>
          </w:tcPr>
          <w:p w:rsidR="00551A39" w:rsidRDefault="00551A39" w:rsidP="00551A39">
            <w:pPr>
              <w:spacing w:before="240" w:line="276" w:lineRule="auto"/>
              <w:jc w:val="center"/>
            </w:pPr>
          </w:p>
        </w:tc>
      </w:tr>
      <w:tr w:rsidR="00551A39" w:rsidTr="00551A39">
        <w:tc>
          <w:tcPr>
            <w:tcW w:w="7578" w:type="dxa"/>
          </w:tcPr>
          <w:p w:rsidR="00551A39" w:rsidRDefault="00551A39" w:rsidP="00D13432">
            <w:pPr>
              <w:pStyle w:val="ListParagraph"/>
              <w:numPr>
                <w:ilvl w:val="0"/>
                <w:numId w:val="1"/>
              </w:numPr>
              <w:spacing w:before="240" w:line="276" w:lineRule="auto"/>
            </w:pPr>
          </w:p>
        </w:tc>
        <w:tc>
          <w:tcPr>
            <w:tcW w:w="1998" w:type="dxa"/>
          </w:tcPr>
          <w:p w:rsidR="00551A39" w:rsidRDefault="00551A39" w:rsidP="00551A39">
            <w:pPr>
              <w:spacing w:before="240"/>
              <w:jc w:val="center"/>
            </w:pPr>
          </w:p>
        </w:tc>
      </w:tr>
      <w:tr w:rsidR="00551A39" w:rsidTr="00551A39">
        <w:tc>
          <w:tcPr>
            <w:tcW w:w="7578" w:type="dxa"/>
          </w:tcPr>
          <w:p w:rsidR="00551A39" w:rsidRDefault="00551A39" w:rsidP="00D13432">
            <w:pPr>
              <w:pStyle w:val="ListParagraph"/>
              <w:numPr>
                <w:ilvl w:val="0"/>
                <w:numId w:val="1"/>
              </w:numPr>
              <w:spacing w:before="240" w:line="276" w:lineRule="auto"/>
            </w:pPr>
          </w:p>
        </w:tc>
        <w:tc>
          <w:tcPr>
            <w:tcW w:w="1998" w:type="dxa"/>
          </w:tcPr>
          <w:p w:rsidR="00551A39" w:rsidRDefault="00551A39" w:rsidP="00551A39">
            <w:pPr>
              <w:spacing w:before="240"/>
              <w:jc w:val="center"/>
            </w:pPr>
          </w:p>
        </w:tc>
      </w:tr>
      <w:tr w:rsidR="000D3E4F" w:rsidTr="00D13432">
        <w:trPr>
          <w:trHeight w:val="1655"/>
        </w:trPr>
        <w:tc>
          <w:tcPr>
            <w:tcW w:w="9576" w:type="dxa"/>
            <w:gridSpan w:val="2"/>
          </w:tcPr>
          <w:p w:rsidR="000D3E4F" w:rsidRDefault="000D3E4F" w:rsidP="000D3E4F">
            <w:pPr>
              <w:spacing w:before="240"/>
            </w:pPr>
            <w:r>
              <w:t>Comments:</w:t>
            </w:r>
          </w:p>
        </w:tc>
      </w:tr>
    </w:tbl>
    <w:p w:rsidR="00551A39" w:rsidRPr="00D13432" w:rsidRDefault="00551A39" w:rsidP="000D3E4F">
      <w:pPr>
        <w:spacing w:before="240"/>
        <w:rPr>
          <w:sz w:val="2"/>
          <w:szCs w:val="2"/>
        </w:rPr>
      </w:pPr>
    </w:p>
    <w:sectPr w:rsidR="00551A39" w:rsidRPr="00D13432" w:rsidSect="00851E2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0D" w:rsidRDefault="0044480D" w:rsidP="00551A39">
      <w:pPr>
        <w:spacing w:after="0" w:line="240" w:lineRule="auto"/>
      </w:pPr>
      <w:r>
        <w:separator/>
      </w:r>
    </w:p>
  </w:endnote>
  <w:endnote w:type="continuationSeparator" w:id="0">
    <w:p w:rsidR="0044480D" w:rsidRDefault="0044480D" w:rsidP="00551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0D" w:rsidRDefault="0044480D" w:rsidP="00551A39">
      <w:pPr>
        <w:spacing w:after="0" w:line="240" w:lineRule="auto"/>
      </w:pPr>
      <w:r>
        <w:separator/>
      </w:r>
    </w:p>
  </w:footnote>
  <w:footnote w:type="continuationSeparator" w:id="0">
    <w:p w:rsidR="0044480D" w:rsidRDefault="0044480D" w:rsidP="00551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1998"/>
      <w:gridCol w:w="7578"/>
    </w:tblGrid>
    <w:tr w:rsidR="00551A39" w:rsidTr="00FB7A15">
      <w:tc>
        <w:tcPr>
          <w:tcW w:w="1998" w:type="dxa"/>
        </w:tcPr>
        <w:p w:rsidR="00551A39" w:rsidRDefault="00551A39" w:rsidP="00FB7A15">
          <w:r>
            <w:rPr>
              <w:noProof/>
            </w:rPr>
            <w:drawing>
              <wp:inline distT="0" distB="0" distL="0" distR="0">
                <wp:extent cx="1084997" cy="1615440"/>
                <wp:effectExtent l="19050" t="0" r="853" b="0"/>
                <wp:docPr id="2" name="Picture 7" descr="https://www.cmubuggy.org/img/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mubuggy.org/img/logo-web.png"/>
                        <pic:cNvPicPr>
                          <a:picLocks noChangeAspect="1" noChangeArrowheads="1"/>
                        </pic:cNvPicPr>
                      </pic:nvPicPr>
                      <pic:blipFill>
                        <a:blip r:embed="rId1"/>
                        <a:srcRect/>
                        <a:stretch>
                          <a:fillRect/>
                        </a:stretch>
                      </pic:blipFill>
                      <pic:spPr bwMode="auto">
                        <a:xfrm>
                          <a:off x="0" y="0"/>
                          <a:ext cx="1084997" cy="1615440"/>
                        </a:xfrm>
                        <a:prstGeom prst="rect">
                          <a:avLst/>
                        </a:prstGeom>
                        <a:noFill/>
                        <a:ln w="9525">
                          <a:noFill/>
                          <a:miter lim="800000"/>
                          <a:headEnd/>
                          <a:tailEnd/>
                        </a:ln>
                      </pic:spPr>
                    </pic:pic>
                  </a:graphicData>
                </a:graphic>
              </wp:inline>
            </w:drawing>
          </w:r>
        </w:p>
      </w:tc>
      <w:tc>
        <w:tcPr>
          <w:tcW w:w="7578" w:type="dxa"/>
          <w:vAlign w:val="bottom"/>
        </w:tcPr>
        <w:p w:rsidR="00551A39" w:rsidRPr="001B702D" w:rsidRDefault="00551A39" w:rsidP="00FB7A15">
          <w:pPr>
            <w:jc w:val="center"/>
            <w:rPr>
              <w:b/>
              <w:sz w:val="56"/>
              <w:szCs w:val="56"/>
            </w:rPr>
          </w:pPr>
          <w:r w:rsidRPr="001B702D">
            <w:rPr>
              <w:b/>
              <w:sz w:val="56"/>
              <w:szCs w:val="56"/>
            </w:rPr>
            <w:t>2018 Finals Lead Truck Auction</w:t>
          </w:r>
        </w:p>
        <w:p w:rsidR="00551A39" w:rsidRDefault="00551A39" w:rsidP="00FB7A15">
          <w:pPr>
            <w:jc w:val="center"/>
          </w:pPr>
        </w:p>
        <w:p w:rsidR="00551A39" w:rsidRPr="001B702D" w:rsidRDefault="00551A39" w:rsidP="00FB7A15">
          <w:pPr>
            <w:jc w:val="center"/>
            <w:rPr>
              <w:sz w:val="52"/>
              <w:szCs w:val="52"/>
              <w:u w:val="single"/>
            </w:rPr>
          </w:pPr>
          <w:r w:rsidRPr="001B702D">
            <w:rPr>
              <w:sz w:val="52"/>
              <w:szCs w:val="52"/>
              <w:u w:val="single"/>
            </w:rPr>
            <w:t>Proxy Bidding Sheet</w:t>
          </w:r>
        </w:p>
      </w:tc>
    </w:tr>
  </w:tbl>
  <w:p w:rsidR="00551A39" w:rsidRDefault="00551A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155A"/>
    <w:multiLevelType w:val="hybridMultilevel"/>
    <w:tmpl w:val="6F1E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3740"/>
    <w:rsid w:val="000D3E4F"/>
    <w:rsid w:val="001B702D"/>
    <w:rsid w:val="0044480D"/>
    <w:rsid w:val="00477D1A"/>
    <w:rsid w:val="00551A39"/>
    <w:rsid w:val="005F0DA3"/>
    <w:rsid w:val="007605AC"/>
    <w:rsid w:val="00851E21"/>
    <w:rsid w:val="008A3740"/>
    <w:rsid w:val="00A75B63"/>
    <w:rsid w:val="00D13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3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740"/>
    <w:rPr>
      <w:rFonts w:ascii="Tahoma" w:hAnsi="Tahoma" w:cs="Tahoma"/>
      <w:sz w:val="16"/>
      <w:szCs w:val="16"/>
    </w:rPr>
  </w:style>
  <w:style w:type="paragraph" w:styleId="Header">
    <w:name w:val="header"/>
    <w:basedOn w:val="Normal"/>
    <w:link w:val="HeaderChar"/>
    <w:uiPriority w:val="99"/>
    <w:semiHidden/>
    <w:unhideWhenUsed/>
    <w:rsid w:val="00551A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A39"/>
  </w:style>
  <w:style w:type="paragraph" w:styleId="Footer">
    <w:name w:val="footer"/>
    <w:basedOn w:val="Normal"/>
    <w:link w:val="FooterChar"/>
    <w:uiPriority w:val="99"/>
    <w:semiHidden/>
    <w:unhideWhenUsed/>
    <w:rsid w:val="00551A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A39"/>
  </w:style>
  <w:style w:type="paragraph" w:styleId="ListParagraph">
    <w:name w:val="List Paragraph"/>
    <w:basedOn w:val="Normal"/>
    <w:uiPriority w:val="34"/>
    <w:qFormat/>
    <w:rsid w:val="00551A39"/>
    <w:pPr>
      <w:ind w:left="720"/>
      <w:contextualSpacing/>
    </w:pPr>
  </w:style>
  <w:style w:type="character" w:styleId="Hyperlink">
    <w:name w:val="Hyperlink"/>
    <w:basedOn w:val="DefaultParagraphFont"/>
    <w:uiPriority w:val="99"/>
    <w:unhideWhenUsed/>
    <w:rsid w:val="000D3E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sham@alumni.c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Arsham</dc:creator>
  <cp:lastModifiedBy>Bryan Arsham</cp:lastModifiedBy>
  <cp:revision>3</cp:revision>
  <dcterms:created xsi:type="dcterms:W3CDTF">2018-04-14T13:53:00Z</dcterms:created>
  <dcterms:modified xsi:type="dcterms:W3CDTF">2018-04-14T23:53:00Z</dcterms:modified>
</cp:coreProperties>
</file>